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D3B2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国联智运</w:t>
      </w:r>
      <w:r>
        <w:rPr>
          <w:rFonts w:hint="eastAsia"/>
        </w:rPr>
        <w:t>平台运价调整机制</w:t>
      </w:r>
    </w:p>
    <w:p w14:paraId="00397088">
      <w:pPr>
        <w:rPr>
          <w:rFonts w:hint="eastAsia"/>
        </w:rPr>
      </w:pPr>
    </w:p>
    <w:p w14:paraId="6E51F902">
      <w:pPr>
        <w:rPr>
          <w:rFonts w:hint="eastAsia"/>
        </w:rPr>
      </w:pPr>
      <w:r>
        <w:rPr>
          <w:rFonts w:hint="eastAsia"/>
        </w:rPr>
        <w:t>第一章 总体原则</w:t>
      </w:r>
    </w:p>
    <w:p w14:paraId="1F8BE8E2">
      <w:pPr>
        <w:rPr>
          <w:rFonts w:hint="eastAsia"/>
        </w:rPr>
      </w:pPr>
      <w:r>
        <w:rPr>
          <w:rFonts w:hint="eastAsia"/>
        </w:rPr>
        <w:t>严格执行交通运输部《关于推动网络货运平台建立油价运价协同调整机制的通知》交运发〔2026〕30号要求。</w:t>
      </w:r>
    </w:p>
    <w:p w14:paraId="0909171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油运联动： 建立以成品油价格波动为核心的运价传导机制。</w:t>
      </w:r>
    </w:p>
    <w:p w14:paraId="457B42E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明码标价： 调价规则公开透明，严禁发布低于成本的恶意竞争运价。</w:t>
      </w:r>
    </w:p>
    <w:p w14:paraId="7B2E33C9">
      <w:pPr>
        <w:rPr>
          <w:rFonts w:hint="eastAsia"/>
        </w:rPr>
      </w:pPr>
    </w:p>
    <w:p w14:paraId="33D5F97F">
      <w:pPr>
        <w:rPr>
          <w:rFonts w:hint="eastAsia"/>
        </w:rPr>
      </w:pPr>
      <w:r>
        <w:rPr>
          <w:rFonts w:hint="eastAsia"/>
        </w:rPr>
        <w:t>第二章 运价调整对象</w:t>
      </w:r>
    </w:p>
    <w:p w14:paraId="6C54741D">
      <w:pPr>
        <w:rPr>
          <w:rFonts w:hint="eastAsia"/>
        </w:rPr>
      </w:pPr>
      <w:r>
        <w:rPr>
          <w:rFonts w:hint="eastAsia"/>
        </w:rPr>
        <w:t>根据平台业务模式，分别界定调整对象：</w:t>
      </w:r>
    </w:p>
    <w:p w14:paraId="1975777A"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干线撮合模式： 调整重点为建议价（参考价）及最低阻断价（防止订单价格过低）。</w:t>
      </w:r>
    </w:p>
    <w:p w14:paraId="5EE2FAB6"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干线承运模式： 调整重点为平台与实际承运人之间的结算价格。</w:t>
      </w:r>
    </w:p>
    <w:p w14:paraId="2895CB09"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同城货运模式： 调整重点为起步价（基准价）及分段里程费。</w:t>
      </w:r>
    </w:p>
    <w:p w14:paraId="7DB1A483">
      <w:pPr>
        <w:rPr>
          <w:rFonts w:hint="eastAsia"/>
        </w:rPr>
      </w:pPr>
    </w:p>
    <w:p w14:paraId="610A45DF">
      <w:pPr>
        <w:rPr>
          <w:rFonts w:hint="eastAsia"/>
        </w:rPr>
      </w:pPr>
      <w:r>
        <w:rPr>
          <w:rFonts w:hint="eastAsia"/>
        </w:rPr>
        <w:t>第三章 油价联动计算模型</w:t>
      </w:r>
    </w:p>
    <w:p w14:paraId="5754D93A"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调整周期： 以一个月为一个观察周期。</w:t>
      </w:r>
    </w:p>
    <w:p w14:paraId="68EC6DC7"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基准指标： 采用国家发改委发布的本区域汽、柴油最高零售价。</w:t>
      </w:r>
    </w:p>
    <w:p w14:paraId="023691BB"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触发阈值： 当月度累计油价波动超过</w:t>
      </w:r>
      <w:r>
        <w:rPr>
          <w:rFonts w:hint="eastAsia"/>
          <w:lang w:val="en-US" w:eastAsia="zh-CN"/>
        </w:rPr>
        <w:t>10%</w:t>
      </w:r>
      <w:r>
        <w:rPr>
          <w:rFonts w:hint="eastAsia"/>
        </w:rPr>
        <w:t>时，系统自动或人工触发全局基准价微调。</w:t>
      </w:r>
    </w:p>
    <w:p w14:paraId="334C8F9B"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计算公式：运价调整幅度 = 油价累计波动比例 × 油费成本占比。</w:t>
      </w:r>
    </w:p>
    <w:p w14:paraId="64BE32D4">
      <w:pPr>
        <w:numPr>
          <w:ilvl w:val="1"/>
          <w:numId w:val="3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：油费成本占比通常按不同车型在运输总费用中的权重进行核算（</w:t>
      </w:r>
      <w:r>
        <w:rPr>
          <w:rFonts w:hint="eastAsia"/>
          <w:lang w:val="en-US" w:eastAsia="zh-CN"/>
        </w:rPr>
        <w:t>由平台根据车型核定</w:t>
      </w:r>
      <w:r>
        <w:rPr>
          <w:rFonts w:hint="eastAsia"/>
        </w:rPr>
        <w:t>）。</w:t>
      </w:r>
    </w:p>
    <w:p w14:paraId="6DF02B2D">
      <w:pPr>
        <w:numPr>
          <w:ilvl w:val="1"/>
          <w:numId w:val="3"/>
        </w:numPr>
        <w:ind w:left="840" w:leftChars="0" w:hanging="420" w:firstLineChars="0"/>
        <w:rPr>
          <w:rFonts w:hint="eastAsia"/>
        </w:rPr>
      </w:pPr>
      <w:r>
        <w:rPr>
          <w:rFonts w:hint="eastAsia"/>
          <w:lang w:val="en-US" w:eastAsia="zh-CN"/>
        </w:rPr>
        <w:t>注2：</w:t>
      </w:r>
      <w:r>
        <w:rPr>
          <w:rFonts w:hint="eastAsia"/>
        </w:rPr>
        <w:t>在调整运价时，除了</w:t>
      </w:r>
      <w:r>
        <w:rPr>
          <w:rFonts w:hint="eastAsia"/>
          <w:lang w:val="en-US" w:eastAsia="zh-CN"/>
        </w:rPr>
        <w:t>油价、</w:t>
      </w:r>
      <w:r>
        <w:rPr>
          <w:rFonts w:hint="eastAsia"/>
        </w:rPr>
        <w:t>油费成本占比外，</w:t>
      </w:r>
      <w:r>
        <w:rPr>
          <w:rFonts w:hint="eastAsia"/>
          <w:lang w:val="en-US" w:eastAsia="zh-CN"/>
        </w:rPr>
        <w:t>还</w:t>
      </w:r>
      <w:r>
        <w:rPr>
          <w:rFonts w:hint="eastAsia"/>
        </w:rPr>
        <w:t>综合考虑以下成本要素：</w:t>
      </w:r>
    </w:p>
    <w:p w14:paraId="4483D1B7">
      <w:pPr>
        <w:numPr>
          <w:ilvl w:val="0"/>
          <w:numId w:val="4"/>
        </w:numPr>
        <w:tabs>
          <w:tab w:val="left" w:pos="420"/>
        </w:tabs>
        <w:ind w:left="420" w:leftChars="0" w:firstLine="420" w:firstLineChars="200"/>
        <w:rPr>
          <w:rFonts w:hint="eastAsia"/>
        </w:rPr>
      </w:pPr>
      <w:r>
        <w:rPr>
          <w:rFonts w:hint="eastAsia"/>
        </w:rPr>
        <w:t>燃油/能源费用： 汽柴油或电力成本。</w:t>
      </w:r>
    </w:p>
    <w:p w14:paraId="5B538904">
      <w:pPr>
        <w:numPr>
          <w:ilvl w:val="0"/>
          <w:numId w:val="4"/>
        </w:numPr>
        <w:tabs>
          <w:tab w:val="left" w:pos="420"/>
        </w:tabs>
        <w:ind w:left="420" w:leftChars="0" w:firstLine="420" w:firstLineChars="200"/>
        <w:rPr>
          <w:rFonts w:hint="eastAsia"/>
        </w:rPr>
      </w:pPr>
      <w:r>
        <w:rPr>
          <w:rFonts w:hint="eastAsia"/>
        </w:rPr>
        <w:t>路桥费用： 高速公路及桥梁通行费。</w:t>
      </w:r>
    </w:p>
    <w:p w14:paraId="7D673B07">
      <w:pPr>
        <w:numPr>
          <w:ilvl w:val="0"/>
          <w:numId w:val="4"/>
        </w:numPr>
        <w:tabs>
          <w:tab w:val="left" w:pos="420"/>
        </w:tabs>
        <w:ind w:left="420" w:leftChars="0" w:firstLine="420" w:firstLineChars="200"/>
        <w:rPr>
          <w:rFonts w:hint="eastAsia"/>
        </w:rPr>
      </w:pPr>
      <w:r>
        <w:rPr>
          <w:rFonts w:hint="eastAsia"/>
        </w:rPr>
        <w:t>人工及合规费用： 司机劳务、保险成本。</w:t>
      </w:r>
    </w:p>
    <w:p w14:paraId="3929E579">
      <w:pPr>
        <w:numPr>
          <w:ilvl w:val="0"/>
          <w:numId w:val="4"/>
        </w:numPr>
        <w:tabs>
          <w:tab w:val="left" w:pos="420"/>
        </w:tabs>
        <w:ind w:left="420" w:leftChars="0" w:firstLine="420" w:firstLineChars="200"/>
        <w:rPr>
          <w:rFonts w:hint="eastAsia"/>
        </w:rPr>
      </w:pPr>
      <w:r>
        <w:rPr>
          <w:rFonts w:hint="eastAsia"/>
        </w:rPr>
        <w:t>车辆折旧与维护： 维修、保养及保险费用。</w:t>
      </w:r>
    </w:p>
    <w:p w14:paraId="4B541887">
      <w:pPr>
        <w:numPr>
          <w:ilvl w:val="0"/>
          <w:numId w:val="4"/>
        </w:numPr>
        <w:tabs>
          <w:tab w:val="left" w:pos="420"/>
        </w:tabs>
        <w:ind w:left="420" w:leftChars="0" w:firstLine="420" w:firstLineChars="200"/>
        <w:rPr>
          <w:rFonts w:hint="eastAsia"/>
        </w:rPr>
      </w:pPr>
      <w:r>
        <w:rPr>
          <w:rFonts w:hint="eastAsia"/>
        </w:rPr>
        <w:t>合理利润： 保障司机及平台的持续经营能力</w:t>
      </w:r>
      <w:bookmarkStart w:id="0" w:name="_GoBack"/>
      <w:bookmarkEnd w:id="0"/>
      <w:r>
        <w:rPr>
          <w:rFonts w:hint="eastAsia"/>
        </w:rPr>
        <w:t>。</w:t>
      </w:r>
    </w:p>
    <w:p w14:paraId="313845C0">
      <w:pPr>
        <w:rPr>
          <w:rFonts w:hint="eastAsia"/>
        </w:rPr>
      </w:pPr>
    </w:p>
    <w:p w14:paraId="65BE9914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章 调整程序与告知</w:t>
      </w:r>
    </w:p>
    <w:p w14:paraId="4726920E"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动态监控： 系统每日监测市场供需、油价趋势及成交转化率。</w:t>
      </w:r>
    </w:p>
    <w:p w14:paraId="1CD92364"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 xml:space="preserve">规则公示： 运价调整规则应在 </w:t>
      </w:r>
      <w:r>
        <w:rPr>
          <w:rFonts w:hint="eastAsia"/>
          <w:lang w:val="en-US" w:eastAsia="zh-CN"/>
        </w:rPr>
        <w:t>网站/</w:t>
      </w:r>
      <w:r>
        <w:rPr>
          <w:rFonts w:hint="eastAsia"/>
        </w:rPr>
        <w:t>APP 显著位置进行长期公示。</w:t>
      </w:r>
    </w:p>
    <w:p w14:paraId="38BCB7CB"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即时提醒： 发生重大调价（如节假日附加费或油价联动调价）时，通过弹窗、短信或站内信提前告知货主与司机。</w:t>
      </w:r>
    </w:p>
    <w:p w14:paraId="4A230E9F">
      <w:pPr>
        <w:rPr>
          <w:rFonts w:hint="eastAsia"/>
        </w:rPr>
      </w:pPr>
    </w:p>
    <w:p w14:paraId="4435B22C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章 监督与纠纷处理</w:t>
      </w:r>
    </w:p>
    <w:p w14:paraId="08B08BF2">
      <w:pPr>
        <w:numPr>
          <w:ilvl w:val="0"/>
          <w:numId w:val="6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异常价格阻断： 建立系统拦截机制，严禁发布明显偏离市场成本线的偏低运价。</w:t>
      </w:r>
    </w:p>
    <w:p w14:paraId="3320CC3B">
      <w:pPr>
        <w:numPr>
          <w:ilvl w:val="0"/>
          <w:numId w:val="6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投诉渠道： 设立专项客服热线，处理因调价引起的运费争议。</w:t>
      </w:r>
    </w:p>
    <w:p w14:paraId="73AECD06">
      <w:pPr>
        <w:numPr>
          <w:ilvl w:val="0"/>
          <w:numId w:val="6"/>
        </w:numPr>
        <w:ind w:left="425" w:leftChars="0" w:hanging="425" w:firstLineChars="0"/>
      </w:pPr>
      <w:r>
        <w:rPr>
          <w:rFonts w:hint="eastAsia"/>
        </w:rPr>
        <w:t>报备机制： 定期向属地交通运输主管部门报备调价模型及执行情况。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0431E"/>
    <w:multiLevelType w:val="singleLevel"/>
    <w:tmpl w:val="AEA043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DDCB12"/>
    <w:multiLevelType w:val="multilevel"/>
    <w:tmpl w:val="FCDDCB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1FAE04EE"/>
    <w:multiLevelType w:val="singleLevel"/>
    <w:tmpl w:val="1FAE04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C40C15F"/>
    <w:multiLevelType w:val="singleLevel"/>
    <w:tmpl w:val="4C40C1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3786140"/>
    <w:multiLevelType w:val="singleLevel"/>
    <w:tmpl w:val="737861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B41BCD3"/>
    <w:multiLevelType w:val="singleLevel"/>
    <w:tmpl w:val="7B41BCD3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02D91"/>
    <w:rsid w:val="01FD1152"/>
    <w:rsid w:val="04212517"/>
    <w:rsid w:val="06A02D91"/>
    <w:rsid w:val="11556380"/>
    <w:rsid w:val="1A396AB8"/>
    <w:rsid w:val="27EC4822"/>
    <w:rsid w:val="30716E92"/>
    <w:rsid w:val="4FBA39FD"/>
    <w:rsid w:val="5FFD55AA"/>
    <w:rsid w:val="79EB5B01"/>
    <w:rsid w:val="7DFF5108"/>
    <w:rsid w:val="7EF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</Words>
  <Characters>741</Characters>
  <Lines>0</Lines>
  <Paragraphs>0</Paragraphs>
  <TotalTime>1</TotalTime>
  <ScaleCrop>false</ScaleCrop>
  <LinksUpToDate>false</LinksUpToDate>
  <CharactersWithSpaces>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2026-05-09T08:00:00Z</dcterms:created>
  <dc:creator>林子晗</dc:creator>
  <cp:lastModifiedBy>林子晗</cp:lastModifiedBy>
  <dcterms:modified xsi:type="dcterms:W3CDTF">2026-05-09T08:19:48Z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63AA4C68B25F4DF6AF4EDC2C107B50BD_11</vt:lpwstr>
  </property>
  <property fmtid="{D5CDD505-2E9C-101B-9397-08002B2CF9AE}" pid="4" name="KSOTemplateDocerSaveRecord">
    <vt:lpwstr>eyJoZGlkIjoiNDg1NGEwMTdkYTkyNmYzNTE0MGNmYjQ3NjUzZTU0OTgiLCJ1c2VySWQiOiI2MTk4ODM4NDkifQ==</vt:lpwstr>
  </property>
</Properties>
</file>